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6E59E3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A0ED1" w:rsidRPr="005A0ED1">
        <w:rPr>
          <w:rFonts w:ascii="Times New Roman" w:hAnsi="Times New Roman" w:cs="Times New Roman"/>
          <w:b/>
        </w:rPr>
        <w:t>Утвержден</w:t>
      </w:r>
      <w:r w:rsidR="005A0ED1">
        <w:rPr>
          <w:rFonts w:ascii="Times New Roman" w:hAnsi="Times New Roman" w:cs="Times New Roman"/>
          <w:b/>
        </w:rPr>
        <w:t>о</w:t>
      </w:r>
      <w:r w:rsidR="005A0ED1" w:rsidRPr="005A0ED1">
        <w:rPr>
          <w:rFonts w:ascii="Times New Roman" w:hAnsi="Times New Roman" w:cs="Times New Roman"/>
          <w:b/>
        </w:rPr>
        <w:t xml:space="preserve"> 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(наименование органа государственной власти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________________________________________________________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или органа местного самоуправления)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от ___________________ №________________________________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00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CE4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BC63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0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0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394</w:t>
      </w:r>
      <w:bookmarkStart w:id="0" w:name="_GoBack"/>
      <w:bookmarkEnd w:id="0"/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BC6349">
        <w:rPr>
          <w:rFonts w:ascii="Times New Roman" w:eastAsia="Times New Roman" w:hAnsi="Times New Roman" w:cs="Times New Roman"/>
          <w:sz w:val="24"/>
          <w:szCs w:val="24"/>
          <w:lang w:eastAsia="ru-RU"/>
        </w:rPr>
        <w:t>0305001:130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60052D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60052D">
        <w:rPr>
          <w:rFonts w:ascii="Times New Roman" w:hAnsi="Times New Roman" w:cs="Times New Roman"/>
          <w:sz w:val="24"/>
          <w:szCs w:val="24"/>
        </w:rPr>
        <w:t>1500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BC6349">
        <w:rPr>
          <w:rFonts w:ascii="Times New Roman" w:hAnsi="Times New Roman" w:cs="Times New Roman"/>
          <w:sz w:val="24"/>
          <w:szCs w:val="24"/>
        </w:rPr>
        <w:t>0305001:130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60052D" w:rsidRPr="0060052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</w:t>
      </w:r>
      <w:r w:rsidR="00BC6349">
        <w:rPr>
          <w:rFonts w:ascii="Times New Roman" w:hAnsi="Times New Roman" w:cs="Times New Roman"/>
          <w:sz w:val="24"/>
          <w:szCs w:val="24"/>
        </w:rPr>
        <w:t>бный земельный участок)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Красноярский край, Мотыгинский район, пос. </w:t>
      </w:r>
      <w:proofErr w:type="gramStart"/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Устье, </w:t>
      </w:r>
      <w:r w:rsidR="00600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0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ул. Набережная, участок № </w:t>
      </w:r>
      <w:r w:rsidR="00BC6349">
        <w:rPr>
          <w:rFonts w:ascii="Times New Roman" w:hAnsi="Times New Roman" w:cs="Times New Roman"/>
          <w:sz w:val="24"/>
          <w:szCs w:val="24"/>
        </w:rPr>
        <w:t>2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60052D" w:rsidRPr="0060052D">
        <w:rPr>
          <w:rFonts w:ascii="Times New Roman" w:hAnsi="Times New Roman" w:cs="Times New Roman"/>
          <w:sz w:val="24"/>
          <w:szCs w:val="24"/>
        </w:rPr>
        <w:t>7 209 рублей (семь тысяч двести девять рублей)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60052D" w:rsidRPr="0060052D">
        <w:rPr>
          <w:rFonts w:ascii="Times New Roman" w:hAnsi="Times New Roman" w:cs="Times New Roman"/>
          <w:sz w:val="24"/>
          <w:szCs w:val="24"/>
        </w:rPr>
        <w:t>216 рублей 27 копеек (двести шестнадцать рублей 27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60052D" w:rsidRPr="0060052D">
        <w:rPr>
          <w:rFonts w:ascii="Times New Roman" w:hAnsi="Times New Roman" w:cs="Times New Roman"/>
          <w:sz w:val="24"/>
          <w:szCs w:val="24"/>
        </w:rPr>
        <w:t>1 441 рубль 80 копеек (одна тысяча четыреста сорок один рубль 80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60052D" w:rsidRPr="0060052D">
        <w:rPr>
          <w:rFonts w:ascii="Times New Roman" w:hAnsi="Times New Roman" w:cs="Times New Roman"/>
          <w:sz w:val="24"/>
          <w:szCs w:val="24"/>
        </w:rPr>
        <w:t>7 209 рублей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Дата и время окончания подачи заявок –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BC6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11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60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F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BD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BC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11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BC63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11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26A36">
        <w:rPr>
          <w:rFonts w:ascii="Times New Roman" w:hAnsi="Times New Roman" w:cs="Times New Roman"/>
          <w:sz w:val="24"/>
          <w:szCs w:val="24"/>
        </w:rPr>
        <w:t xml:space="preserve">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5.4.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5.5.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</w:rPr>
        <w:t>5.6.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5.8.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5.9. В течение одного часа со времени поступления заявки 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326A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85E29"/>
    <w:rsid w:val="001A644F"/>
    <w:rsid w:val="00225ABA"/>
    <w:rsid w:val="002E159E"/>
    <w:rsid w:val="00326A36"/>
    <w:rsid w:val="003C3C8D"/>
    <w:rsid w:val="00567C75"/>
    <w:rsid w:val="005A0ED1"/>
    <w:rsid w:val="005D53BA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D4D31"/>
    <w:rsid w:val="008F080B"/>
    <w:rsid w:val="009A2414"/>
    <w:rsid w:val="009B4904"/>
    <w:rsid w:val="00A226E5"/>
    <w:rsid w:val="00A76049"/>
    <w:rsid w:val="00AE12D6"/>
    <w:rsid w:val="00AF38F9"/>
    <w:rsid w:val="00B42A4D"/>
    <w:rsid w:val="00BC5F7F"/>
    <w:rsid w:val="00BC6349"/>
    <w:rsid w:val="00BD4FFC"/>
    <w:rsid w:val="00BE1B69"/>
    <w:rsid w:val="00C13D8E"/>
    <w:rsid w:val="00C21775"/>
    <w:rsid w:val="00CD3927"/>
    <w:rsid w:val="00CE4907"/>
    <w:rsid w:val="00D26A7B"/>
    <w:rsid w:val="00DB7864"/>
    <w:rsid w:val="00DE1611"/>
    <w:rsid w:val="00DF76F5"/>
    <w:rsid w:val="00E17873"/>
    <w:rsid w:val="00E87B90"/>
    <w:rsid w:val="00ED20AE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B106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36</cp:revision>
  <cp:lastPrinted>2024-10-15T04:11:00Z</cp:lastPrinted>
  <dcterms:created xsi:type="dcterms:W3CDTF">2022-07-25T08:49:00Z</dcterms:created>
  <dcterms:modified xsi:type="dcterms:W3CDTF">2024-10-25T03:29:00Z</dcterms:modified>
</cp:coreProperties>
</file>